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4818"/>
      </w:tblGrid>
      <w:tr w:rsidR="001A768C" w:rsidTr="00ED0AF9">
        <w:tc>
          <w:tcPr>
            <w:tcW w:w="4820" w:type="dxa"/>
            <w:shd w:val="clear" w:color="auto" w:fill="auto"/>
          </w:tcPr>
          <w:p w:rsidR="001A768C" w:rsidRDefault="001A768C" w:rsidP="00835D19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:rsidR="001A768C" w:rsidRDefault="001A768C" w:rsidP="00835D19">
            <w:pPr>
              <w:pStyle w:val="ae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A768C" w:rsidRDefault="001A768C" w:rsidP="00835D19">
            <w:pPr>
              <w:pStyle w:val="ae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 </w:t>
            </w:r>
          </w:p>
          <w:p w:rsidR="001A768C" w:rsidRDefault="001A768C" w:rsidP="00835D19">
            <w:pPr>
              <w:pStyle w:val="ae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                Усть-Абаканского муниципального района Республики Хакасия</w:t>
            </w:r>
          </w:p>
          <w:p w:rsidR="001A768C" w:rsidRDefault="00E902AD" w:rsidP="00835D19">
            <w:pPr>
              <w:pStyle w:val="ae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22.12.2025  </w:t>
            </w:r>
            <w:r w:rsidR="001A768C"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/>
                <w:sz w:val="28"/>
                <w:szCs w:val="28"/>
              </w:rPr>
              <w:t>1205 - п</w:t>
            </w:r>
          </w:p>
        </w:tc>
      </w:tr>
    </w:tbl>
    <w:p w:rsidR="001A768C" w:rsidRDefault="001A768C" w:rsidP="001A768C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Норматив стоимости 1 квадратного метра общей площади жилья </w:t>
      </w: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по Усть-Абаканскому муниципальному району Республики Хакасия, используемый для определения размера социальных выплат населению на приобретение жилых помещений на вторичном рынке жилья всем категориям граждан, которым указанные социальные </w:t>
      </w:r>
      <w:r w:rsidR="00E92657">
        <w:rPr>
          <w:rFonts w:ascii="Times New Roman" w:hAnsi="Times New Roman"/>
          <w:sz w:val="28"/>
          <w:szCs w:val="28"/>
        </w:rPr>
        <w:t>выплаты предоставляются за счет</w:t>
      </w:r>
      <w:r>
        <w:rPr>
          <w:rFonts w:ascii="Times New Roman" w:hAnsi="Times New Roman"/>
          <w:sz w:val="28"/>
          <w:szCs w:val="28"/>
        </w:rPr>
        <w:t xml:space="preserve"> средств бюджета Усть-Абаканского муниципального района Республики Хакасия в случаях, установленных законодательством Республики Хакасия и нормативно-правовыми актами   </w:t>
      </w:r>
    </w:p>
    <w:p w:rsidR="001A768C" w:rsidRDefault="001A768C" w:rsidP="001A768C">
      <w:pPr>
        <w:spacing w:after="0"/>
        <w:contextualSpacing/>
        <w:jc w:val="center"/>
      </w:pPr>
      <w:r>
        <w:rPr>
          <w:rFonts w:ascii="Times New Roman" w:hAnsi="Times New Roman"/>
          <w:sz w:val="28"/>
          <w:szCs w:val="28"/>
        </w:rPr>
        <w:t xml:space="preserve"> Усть-Абаканского муниципального района Республики Хакасия 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657">
        <w:rPr>
          <w:rFonts w:ascii="Times New Roman" w:hAnsi="Times New Roman"/>
          <w:sz w:val="28"/>
          <w:szCs w:val="28"/>
        </w:rPr>
        <w:t>первый квартал 2026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768" w:type="dxa"/>
        <w:tblInd w:w="-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724"/>
        <w:gridCol w:w="5044"/>
      </w:tblGrid>
      <w:tr w:rsidR="001A768C" w:rsidTr="00835D19"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8C" w:rsidRDefault="001A768C" w:rsidP="00835D19">
            <w:pPr>
              <w:spacing w:after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в состав которого входят поселки городского типа и сельские населенные пункты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8C" w:rsidRDefault="001A768C" w:rsidP="00835D19">
            <w:pPr>
              <w:spacing w:after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Норматив стоимости 1 квадратного метра общей площади жилья, рублей</w:t>
            </w:r>
          </w:p>
        </w:tc>
      </w:tr>
      <w:tr w:rsidR="001A768C" w:rsidTr="00835D19"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8C" w:rsidRDefault="001A768C" w:rsidP="00835D19">
            <w:pPr>
              <w:spacing w:after="0"/>
              <w:contextualSpacing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Усть-Абаканский район, в т.ч.: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8C" w:rsidRDefault="00E92657" w:rsidP="00835D19">
            <w:pPr>
              <w:spacing w:after="0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77 923,00</w:t>
            </w:r>
          </w:p>
        </w:tc>
      </w:tr>
      <w:tr w:rsidR="001A768C" w:rsidTr="00835D19"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8C" w:rsidRDefault="001A768C" w:rsidP="00835D19">
            <w:pPr>
              <w:spacing w:after="0"/>
              <w:contextualSpacing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8C" w:rsidRDefault="00E92657" w:rsidP="00835D19">
            <w:pPr>
              <w:spacing w:after="0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116 303,00</w:t>
            </w:r>
          </w:p>
        </w:tc>
      </w:tr>
      <w:tr w:rsidR="001A768C" w:rsidTr="00835D19"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8C" w:rsidRDefault="001A768C" w:rsidP="00835D19">
            <w:pPr>
              <w:spacing w:after="0"/>
              <w:contextualSpacing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Усть-Абаканский поссовет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8C" w:rsidRDefault="00E92657" w:rsidP="00835D19">
            <w:pPr>
              <w:spacing w:after="0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116 303,00</w:t>
            </w:r>
            <w:bookmarkStart w:id="0" w:name="_GoBack"/>
            <w:bookmarkEnd w:id="0"/>
          </w:p>
        </w:tc>
      </w:tr>
    </w:tbl>
    <w:p w:rsidR="001A768C" w:rsidRDefault="001A768C" w:rsidP="001A768C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A768C" w:rsidRDefault="001A768C" w:rsidP="001A768C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44" w:type="dxa"/>
        <w:tblInd w:w="-6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964"/>
        <w:gridCol w:w="1532"/>
        <w:gridCol w:w="2148"/>
      </w:tblGrid>
      <w:tr w:rsidR="001A768C" w:rsidTr="00835D19">
        <w:trPr>
          <w:trHeight w:val="1530"/>
        </w:trPr>
        <w:tc>
          <w:tcPr>
            <w:tcW w:w="5964" w:type="dxa"/>
            <w:shd w:val="clear" w:color="auto" w:fill="auto"/>
          </w:tcPr>
          <w:p w:rsidR="001A768C" w:rsidRDefault="001A768C" w:rsidP="00835D19">
            <w:pPr>
              <w:widowControl w:val="0"/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Усть-Абаканского муниципального района Республики Хакасия по вопросам ЖКХ и строительства —руководитель Управления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1532" w:type="dxa"/>
            <w:shd w:val="clear" w:color="auto" w:fill="auto"/>
          </w:tcPr>
          <w:p w:rsidR="001A768C" w:rsidRDefault="001A768C" w:rsidP="00835D19">
            <w:pPr>
              <w:widowControl w:val="0"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8" w:type="dxa"/>
            <w:shd w:val="clear" w:color="auto" w:fill="auto"/>
          </w:tcPr>
          <w:p w:rsidR="001A768C" w:rsidRDefault="001A768C" w:rsidP="00835D19">
            <w:pPr>
              <w:widowControl w:val="0"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napToGrid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A768C" w:rsidRDefault="001A768C" w:rsidP="00835D19">
            <w:pPr>
              <w:widowControl w:val="0"/>
              <w:spacing w:after="0"/>
              <w:jc w:val="right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 Новикова</w:t>
            </w:r>
          </w:p>
        </w:tc>
      </w:tr>
    </w:tbl>
    <w:p w:rsidR="001A768C" w:rsidRPr="00860461" w:rsidRDefault="001A768C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1A768C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F9" w:rsidRDefault="00326DF9" w:rsidP="00617B40">
      <w:pPr>
        <w:spacing w:after="0" w:line="240" w:lineRule="auto"/>
      </w:pPr>
      <w:r>
        <w:separator/>
      </w:r>
    </w:p>
  </w:endnote>
  <w:endnote w:type="continuationSeparator" w:id="1">
    <w:p w:rsidR="00326DF9" w:rsidRDefault="00326DF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F9" w:rsidRDefault="00326DF9" w:rsidP="00617B40">
      <w:pPr>
        <w:spacing w:after="0" w:line="240" w:lineRule="auto"/>
      </w:pPr>
      <w:r>
        <w:separator/>
      </w:r>
    </w:p>
  </w:footnote>
  <w:footnote w:type="continuationSeparator" w:id="1">
    <w:p w:rsidR="00326DF9" w:rsidRDefault="00326DF9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886"/>
    <w:multiLevelType w:val="multilevel"/>
    <w:tmpl w:val="05A86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4662700"/>
    <w:multiLevelType w:val="multilevel"/>
    <w:tmpl w:val="C8A60F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6B5264C"/>
    <w:multiLevelType w:val="multilevel"/>
    <w:tmpl w:val="E7E86D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6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C5456"/>
    <w:rsid w:val="000D0A9D"/>
    <w:rsid w:val="000D4A59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44F1"/>
    <w:rsid w:val="00165313"/>
    <w:rsid w:val="00181991"/>
    <w:rsid w:val="0018600B"/>
    <w:rsid w:val="00186671"/>
    <w:rsid w:val="001A4696"/>
    <w:rsid w:val="001A4A4A"/>
    <w:rsid w:val="001A768C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16309"/>
    <w:rsid w:val="003230F9"/>
    <w:rsid w:val="00325428"/>
    <w:rsid w:val="00326DF9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5486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6DBC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0F95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33C8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1887"/>
    <w:rsid w:val="00E863F2"/>
    <w:rsid w:val="00E902AD"/>
    <w:rsid w:val="00E90B1B"/>
    <w:rsid w:val="00E92657"/>
    <w:rsid w:val="00EA1927"/>
    <w:rsid w:val="00EA4332"/>
    <w:rsid w:val="00EA468C"/>
    <w:rsid w:val="00EA65A7"/>
    <w:rsid w:val="00EB2B54"/>
    <w:rsid w:val="00EB30B3"/>
    <w:rsid w:val="00EB76F4"/>
    <w:rsid w:val="00EC6EEC"/>
    <w:rsid w:val="00ED0AF9"/>
    <w:rsid w:val="00EE12DB"/>
    <w:rsid w:val="00EE3112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paragraph" w:styleId="2">
    <w:name w:val="heading 2"/>
    <w:basedOn w:val="a"/>
    <w:next w:val="a"/>
    <w:link w:val="20"/>
    <w:qFormat/>
    <w:rsid w:val="003E5486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E54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">
    <w:name w:val="Основной шрифт абзаца1"/>
    <w:qFormat/>
    <w:rsid w:val="003E5486"/>
  </w:style>
  <w:style w:type="paragraph" w:styleId="ab">
    <w:name w:val="Body Text"/>
    <w:basedOn w:val="a"/>
    <w:link w:val="ac"/>
    <w:rsid w:val="003E5486"/>
    <w:pPr>
      <w:spacing w:after="140"/>
    </w:pPr>
  </w:style>
  <w:style w:type="character" w:customStyle="1" w:styleId="ac">
    <w:name w:val="Основной текст Знак"/>
    <w:basedOn w:val="a0"/>
    <w:link w:val="ab"/>
    <w:rsid w:val="003E5486"/>
  </w:style>
  <w:style w:type="paragraph" w:customStyle="1" w:styleId="ConsPlusNormal">
    <w:name w:val="ConsPlusNormal"/>
    <w:qFormat/>
    <w:rsid w:val="003E548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d">
    <w:name w:val="List Paragraph"/>
    <w:basedOn w:val="a"/>
    <w:qFormat/>
    <w:rsid w:val="003E5486"/>
    <w:pPr>
      <w:ind w:left="708"/>
    </w:pPr>
  </w:style>
  <w:style w:type="paragraph" w:customStyle="1" w:styleId="10">
    <w:name w:val="Обычный1"/>
    <w:qFormat/>
    <w:rsid w:val="001A768C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e">
    <w:name w:val="Содержимое таблицы"/>
    <w:basedOn w:val="a"/>
    <w:qFormat/>
    <w:rsid w:val="001A768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5EF65-0E78-44C0-9E58-5DA1467D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2025-08-26T02:53:00Z</dcterms:created>
  <dcterms:modified xsi:type="dcterms:W3CDTF">2025-12-22T03:59:00Z</dcterms:modified>
</cp:coreProperties>
</file>